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547371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2830211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157277D8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</w:t>
      </w:r>
      <w:r w:rsidR="00DE7433">
        <w:rPr>
          <w:rFonts w:ascii="Times New Roman" w:hAnsi="Times New Roman"/>
          <w:b/>
          <w:lang w:val="bs-Latn-BA"/>
        </w:rPr>
        <w:t>e u okviru „Ljeta u Tuzli“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7EE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 .................................................KM </w:t>
            </w:r>
          </w:p>
          <w:p w14:paraId="680950B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8694D4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77777777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manifestacije:</w:t>
            </w: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77777777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77777777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ukoliko je manifestacija sa kojom se aplikant prijavljuje na javni poziv tradicionalna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77777777" w:rsidR="004543FF" w:rsidRPr="004543FF" w:rsidRDefault="004543FF" w:rsidP="004543F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 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1BC5B419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</w:t>
            </w:r>
            <w:r w:rsidR="00547371">
              <w:rPr>
                <w:rFonts w:ascii="Times New Roman" w:hAnsi="Times New Roman"/>
                <w:szCs w:val="24"/>
                <w:lang w:val="bs-Latn-BA"/>
              </w:rPr>
              <w:t xml:space="preserve"> dana </w:t>
            </w:r>
            <w:r w:rsidR="00547371" w:rsidRPr="00547371">
              <w:rPr>
                <w:rFonts w:ascii="Times New Roman" w:hAnsi="Times New Roman"/>
                <w:szCs w:val="24"/>
                <w:lang w:val="bs-Latn-BA"/>
              </w:rPr>
              <w:t>objave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77777777" w:rsidR="004543FF" w:rsidRPr="004543FF" w:rsidRDefault="004543F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547371"/>
    <w:rsid w:val="006C7D6D"/>
    <w:rsid w:val="006D53FD"/>
    <w:rsid w:val="00CB6C00"/>
    <w:rsid w:val="00D64D77"/>
    <w:rsid w:val="00DE7433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Mirela Vrabac</cp:lastModifiedBy>
  <cp:revision>3</cp:revision>
  <dcterms:created xsi:type="dcterms:W3CDTF">2021-05-17T08:14:00Z</dcterms:created>
  <dcterms:modified xsi:type="dcterms:W3CDTF">2021-05-18T06:04:00Z</dcterms:modified>
</cp:coreProperties>
</file>